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16B5" w14:textId="05043D3D" w:rsidR="00784322" w:rsidRPr="0050780A" w:rsidRDefault="00784322" w:rsidP="002B54AD">
      <w:pPr>
        <w:spacing w:after="0"/>
        <w:ind w:left="-450" w:right="-540"/>
        <w:rPr>
          <w:rFonts w:ascii="Arial" w:hAnsi="Arial" w:cs="Arial"/>
          <w:noProof/>
          <w:sz w:val="24"/>
          <w:szCs w:val="28"/>
        </w:rPr>
      </w:pPr>
      <w:bookmarkStart w:id="0" w:name="_GoBack"/>
      <w:bookmarkEnd w:id="0"/>
      <w:r w:rsidRPr="0050780A">
        <w:rPr>
          <w:rFonts w:ascii="Arial" w:hAnsi="Arial" w:cs="Arial"/>
          <w:noProof/>
          <w:sz w:val="24"/>
          <w:szCs w:val="28"/>
        </w:rPr>
        <w:t>Asset Management</w:t>
      </w:r>
    </w:p>
    <w:p w14:paraId="52CC207A" w14:textId="01478314" w:rsidR="00DB5F63" w:rsidRPr="00FA614D" w:rsidRDefault="00AA1035" w:rsidP="0050780A">
      <w:pPr>
        <w:spacing w:after="240"/>
        <w:ind w:left="-450" w:right="-540"/>
        <w:rPr>
          <w:rFonts w:ascii="Arial" w:hAnsi="Arial" w:cs="Arial"/>
          <w:sz w:val="28"/>
          <w:szCs w:val="28"/>
        </w:rPr>
      </w:pPr>
      <w:r w:rsidRPr="00FA614D">
        <w:rPr>
          <w:rFonts w:ascii="Arial" w:hAnsi="Arial" w:cs="Arial"/>
          <w:b/>
          <w:noProof/>
          <w:color w:val="009896"/>
          <w:sz w:val="32"/>
          <w:szCs w:val="32"/>
        </w:rPr>
        <w:t>Playbook</w:t>
      </w:r>
      <w:r w:rsidR="00E96D4A" w:rsidRPr="00FA614D">
        <w:rPr>
          <w:rFonts w:ascii="Arial" w:hAnsi="Arial" w:cs="Arial"/>
          <w:b/>
          <w:noProof/>
          <w:color w:val="009896"/>
          <w:sz w:val="32"/>
          <w:szCs w:val="32"/>
        </w:rPr>
        <w:t xml:space="preserve"> for:</w:t>
      </w:r>
      <w:r w:rsidR="008C3C2E" w:rsidRPr="00FA614D">
        <w:rPr>
          <w:rFonts w:ascii="Arial" w:hAnsi="Arial" w:cs="Arial"/>
          <w:b/>
          <w:color w:val="009896"/>
          <w:sz w:val="32"/>
          <w:szCs w:val="32"/>
        </w:rPr>
        <w:t xml:space="preserve"> </w:t>
      </w:r>
      <w:r w:rsidR="00EF4E3B" w:rsidRPr="00FA614D">
        <w:rPr>
          <w:rFonts w:ascii="Arial" w:hAnsi="Arial" w:cs="Arial"/>
          <w:sz w:val="28"/>
          <w:szCs w:val="28"/>
          <w:highlight w:val="yellow"/>
        </w:rPr>
        <w:t>(Community Name)</w:t>
      </w:r>
    </w:p>
    <w:p w14:paraId="7A809E11" w14:textId="3D5ABDDF" w:rsidR="006072BB" w:rsidRPr="002B54AD" w:rsidRDefault="00E96D4A" w:rsidP="00FA614D">
      <w:pPr>
        <w:tabs>
          <w:tab w:val="left" w:pos="6664"/>
        </w:tabs>
        <w:spacing w:before="120" w:after="120" w:line="360" w:lineRule="auto"/>
        <w:ind w:left="-450" w:right="-540"/>
        <w:rPr>
          <w:rFonts w:ascii="Arial" w:hAnsi="Arial" w:cs="Arial"/>
          <w:b/>
          <w:sz w:val="28"/>
          <w:szCs w:val="32"/>
        </w:rPr>
      </w:pPr>
      <w:r w:rsidRPr="002B54AD">
        <w:rPr>
          <w:rFonts w:ascii="Arial" w:hAnsi="Arial" w:cs="Arial"/>
          <w:b/>
          <w:sz w:val="28"/>
          <w:szCs w:val="32"/>
        </w:rPr>
        <w:t>Objective</w:t>
      </w:r>
    </w:p>
    <w:p w14:paraId="0838F14C" w14:textId="6E0F8BB3" w:rsidR="00A33A24" w:rsidRPr="002B54AD" w:rsidRDefault="005216EA" w:rsidP="002B54AD">
      <w:pPr>
        <w:ind w:left="-450" w:right="-540"/>
        <w:rPr>
          <w:rFonts w:ascii="Arial" w:hAnsi="Arial" w:cs="Arial"/>
          <w:sz w:val="20"/>
          <w:szCs w:val="28"/>
          <w:lang w:val="en-CA"/>
        </w:rPr>
      </w:pPr>
      <w:r w:rsidRPr="002B54AD">
        <w:rPr>
          <w:rFonts w:ascii="Arial" w:hAnsi="Arial" w:cs="Arial"/>
          <w:sz w:val="20"/>
          <w:szCs w:val="28"/>
        </w:rPr>
        <w:t xml:space="preserve">The purpose of this Playbook is to establish a </w:t>
      </w:r>
      <w:r w:rsidR="00DF0B06" w:rsidRPr="002B54AD">
        <w:rPr>
          <w:rFonts w:ascii="Arial" w:hAnsi="Arial" w:cs="Arial"/>
          <w:sz w:val="20"/>
          <w:szCs w:val="28"/>
        </w:rPr>
        <w:t>framework</w:t>
      </w:r>
      <w:r w:rsidRPr="002B54AD">
        <w:rPr>
          <w:rFonts w:ascii="Arial" w:hAnsi="Arial" w:cs="Arial"/>
          <w:sz w:val="20"/>
          <w:szCs w:val="28"/>
        </w:rPr>
        <w:t xml:space="preserve"> for implementing the </w:t>
      </w:r>
      <w:r w:rsidRPr="002B54AD">
        <w:rPr>
          <w:rFonts w:ascii="Arial" w:hAnsi="Arial" w:cs="Arial"/>
          <w:sz w:val="20"/>
          <w:szCs w:val="28"/>
          <w:highlight w:val="yellow"/>
        </w:rPr>
        <w:t>(Community)</w:t>
      </w:r>
      <w:r w:rsidRPr="002B54AD">
        <w:rPr>
          <w:rFonts w:ascii="Arial" w:hAnsi="Arial" w:cs="Arial"/>
          <w:sz w:val="20"/>
          <w:szCs w:val="28"/>
        </w:rPr>
        <w:t>’s asset management program</w:t>
      </w:r>
      <w:r w:rsidR="00A33A24" w:rsidRPr="002B54AD">
        <w:rPr>
          <w:rFonts w:ascii="Arial" w:hAnsi="Arial" w:cs="Arial"/>
          <w:sz w:val="20"/>
          <w:szCs w:val="28"/>
        </w:rPr>
        <w:t xml:space="preserve">.  </w:t>
      </w:r>
      <w:r w:rsidR="00A33A24" w:rsidRPr="002B54AD">
        <w:rPr>
          <w:rFonts w:ascii="Arial" w:hAnsi="Arial" w:cs="Arial"/>
          <w:sz w:val="20"/>
          <w:szCs w:val="28"/>
          <w:lang w:val="en-CA"/>
        </w:rPr>
        <w:t xml:space="preserve">The focus is on </w:t>
      </w:r>
      <w:r w:rsidR="00A33A24" w:rsidRPr="002B54AD">
        <w:rPr>
          <w:rFonts w:ascii="Arial" w:hAnsi="Arial" w:cs="Arial"/>
          <w:b/>
          <w:bCs/>
          <w:sz w:val="20"/>
          <w:szCs w:val="28"/>
          <w:lang w:val="en-CA"/>
        </w:rPr>
        <w:t>doing</w:t>
      </w:r>
      <w:r w:rsidR="00A33A24" w:rsidRPr="002B54AD">
        <w:rPr>
          <w:rFonts w:ascii="Arial" w:hAnsi="Arial" w:cs="Arial"/>
          <w:sz w:val="20"/>
          <w:szCs w:val="28"/>
          <w:lang w:val="en-CA"/>
        </w:rPr>
        <w:t xml:space="preserve"> asset management by implementing processes that enable the whole organization to be more effective and efficient – in an iterative way.</w:t>
      </w:r>
    </w:p>
    <w:p w14:paraId="6943D33A" w14:textId="20E67AE5" w:rsidR="00E96D4A" w:rsidRPr="002B54AD" w:rsidRDefault="00E96D4A" w:rsidP="002B54AD">
      <w:pPr>
        <w:spacing w:before="120" w:after="120" w:line="360" w:lineRule="auto"/>
        <w:ind w:left="-450" w:right="-540"/>
        <w:rPr>
          <w:rFonts w:ascii="Arial" w:hAnsi="Arial" w:cs="Arial"/>
          <w:b/>
          <w:sz w:val="28"/>
          <w:szCs w:val="32"/>
        </w:rPr>
      </w:pPr>
      <w:r w:rsidRPr="002B54AD">
        <w:rPr>
          <w:rFonts w:ascii="Arial" w:hAnsi="Arial" w:cs="Arial"/>
          <w:b/>
          <w:sz w:val="28"/>
          <w:szCs w:val="32"/>
        </w:rPr>
        <w:t>Decision-Making Streams</w:t>
      </w:r>
    </w:p>
    <w:p w14:paraId="450557B7" w14:textId="35692FF7" w:rsidR="00A17EB8" w:rsidRPr="002B54AD" w:rsidRDefault="00E246EA" w:rsidP="002B54AD">
      <w:pPr>
        <w:spacing w:after="120" w:line="240" w:lineRule="auto"/>
        <w:ind w:left="-450" w:right="-540"/>
        <w:rPr>
          <w:rFonts w:ascii="Arial" w:hAnsi="Arial" w:cs="Arial"/>
          <w:sz w:val="20"/>
          <w:szCs w:val="28"/>
        </w:rPr>
      </w:pPr>
      <w:r w:rsidRPr="002B54AD">
        <w:rPr>
          <w:rFonts w:ascii="Arial" w:hAnsi="Arial" w:cs="Arial"/>
          <w:sz w:val="20"/>
          <w:szCs w:val="28"/>
        </w:rPr>
        <w:t>Four</w:t>
      </w:r>
      <w:r w:rsidR="00A17EB8" w:rsidRPr="002B54AD">
        <w:rPr>
          <w:rFonts w:ascii="Arial" w:hAnsi="Arial" w:cs="Arial"/>
          <w:sz w:val="20"/>
          <w:szCs w:val="28"/>
        </w:rPr>
        <w:t xml:space="preserve"> decision streams have been identified</w:t>
      </w:r>
      <w:r w:rsidR="0012634A" w:rsidRPr="002B54AD">
        <w:rPr>
          <w:rFonts w:ascii="Arial" w:hAnsi="Arial" w:cs="Arial"/>
          <w:sz w:val="20"/>
          <w:szCs w:val="28"/>
        </w:rPr>
        <w:t xml:space="preserve"> for the </w:t>
      </w:r>
      <w:r w:rsidR="0012634A" w:rsidRPr="002B54AD">
        <w:rPr>
          <w:rFonts w:ascii="Arial" w:hAnsi="Arial" w:cs="Arial"/>
          <w:sz w:val="20"/>
          <w:szCs w:val="28"/>
          <w:highlight w:val="yellow"/>
        </w:rPr>
        <w:t>(Community)</w:t>
      </w:r>
      <w:r w:rsidR="00A17EB8" w:rsidRPr="002B54AD">
        <w:rPr>
          <w:rFonts w:ascii="Arial" w:hAnsi="Arial" w:cs="Arial"/>
          <w:sz w:val="20"/>
          <w:szCs w:val="28"/>
        </w:rPr>
        <w:t xml:space="preserve"> which make up the front end </w:t>
      </w:r>
      <w:r w:rsidR="0012634A" w:rsidRPr="002B54AD">
        <w:rPr>
          <w:rFonts w:ascii="Arial" w:hAnsi="Arial" w:cs="Arial"/>
          <w:sz w:val="20"/>
          <w:szCs w:val="28"/>
        </w:rPr>
        <w:t>of</w:t>
      </w:r>
      <w:r w:rsidR="00A17EB8" w:rsidRPr="002B54AD">
        <w:rPr>
          <w:rFonts w:ascii="Arial" w:hAnsi="Arial" w:cs="Arial"/>
          <w:sz w:val="20"/>
          <w:szCs w:val="28"/>
        </w:rPr>
        <w:t xml:space="preserve"> the Playbook.  </w:t>
      </w:r>
      <w:r w:rsidR="0012634A" w:rsidRPr="002B54AD">
        <w:rPr>
          <w:rFonts w:ascii="Arial" w:hAnsi="Arial" w:cs="Arial"/>
          <w:sz w:val="20"/>
          <w:szCs w:val="28"/>
        </w:rPr>
        <w:t xml:space="preserve">This is the </w:t>
      </w:r>
      <w:r w:rsidR="002C2599" w:rsidRPr="002B54AD">
        <w:rPr>
          <w:rFonts w:ascii="Arial" w:hAnsi="Arial" w:cs="Arial"/>
          <w:sz w:val="20"/>
          <w:szCs w:val="28"/>
        </w:rPr>
        <w:t>structure</w:t>
      </w:r>
      <w:r w:rsidR="0012634A" w:rsidRPr="002B54AD">
        <w:rPr>
          <w:rFonts w:ascii="Arial" w:hAnsi="Arial" w:cs="Arial"/>
          <w:sz w:val="20"/>
          <w:szCs w:val="28"/>
        </w:rPr>
        <w:t xml:space="preserve"> from which all asset management related decision-making processes will be built.  </w:t>
      </w:r>
      <w:r w:rsidR="00A17EB8" w:rsidRPr="002B54AD">
        <w:rPr>
          <w:rFonts w:ascii="Arial" w:hAnsi="Arial" w:cs="Arial"/>
          <w:sz w:val="20"/>
          <w:szCs w:val="28"/>
        </w:rPr>
        <w:t xml:space="preserve">These </w:t>
      </w:r>
      <w:r w:rsidR="0012634A" w:rsidRPr="002B54AD">
        <w:rPr>
          <w:rFonts w:ascii="Arial" w:hAnsi="Arial" w:cs="Arial"/>
          <w:sz w:val="20"/>
          <w:szCs w:val="28"/>
        </w:rPr>
        <w:t xml:space="preserve">streams </w:t>
      </w:r>
      <w:r w:rsidR="00A17EB8" w:rsidRPr="002B54AD">
        <w:rPr>
          <w:rFonts w:ascii="Arial" w:hAnsi="Arial" w:cs="Arial"/>
          <w:sz w:val="20"/>
          <w:szCs w:val="28"/>
        </w:rPr>
        <w:t>are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6"/>
      </w:tblGrid>
      <w:tr w:rsidR="004B7089" w:rsidRPr="0050780A" w14:paraId="74DBC1D6" w14:textId="77777777" w:rsidTr="004B7089">
        <w:tc>
          <w:tcPr>
            <w:tcW w:w="2263" w:type="dxa"/>
            <w:shd w:val="clear" w:color="auto" w:fill="00323E"/>
          </w:tcPr>
          <w:p w14:paraId="2AC3AFF5" w14:textId="77777777" w:rsidR="00515209" w:rsidRPr="0050780A" w:rsidRDefault="00515209" w:rsidP="002B54AD">
            <w:pPr>
              <w:pStyle w:val="NormalIndented"/>
              <w:ind w:left="-450" w:right="-540"/>
              <w:jc w:val="center"/>
              <w:rPr>
                <w:rFonts w:cs="Arial"/>
                <w:b/>
                <w:color w:val="FFFFFF" w:themeColor="background1"/>
              </w:rPr>
            </w:pPr>
            <w:r w:rsidRPr="0050780A">
              <w:rPr>
                <w:rFonts w:cs="Arial"/>
                <w:b/>
                <w:color w:val="FFFFFF" w:themeColor="background1"/>
              </w:rPr>
              <w:t>Playbook Stream</w:t>
            </w:r>
          </w:p>
        </w:tc>
        <w:tc>
          <w:tcPr>
            <w:tcW w:w="6946" w:type="dxa"/>
            <w:shd w:val="clear" w:color="auto" w:fill="00323E"/>
          </w:tcPr>
          <w:p w14:paraId="304226EB" w14:textId="77777777" w:rsidR="00515209" w:rsidRPr="0050780A" w:rsidRDefault="00515209" w:rsidP="002B54AD">
            <w:pPr>
              <w:pStyle w:val="NormalIndented"/>
              <w:ind w:left="-450" w:right="-540"/>
              <w:jc w:val="center"/>
              <w:rPr>
                <w:rFonts w:cs="Arial"/>
                <w:b/>
                <w:color w:val="FFFFFF" w:themeColor="background1"/>
              </w:rPr>
            </w:pPr>
            <w:r w:rsidRPr="0050780A">
              <w:rPr>
                <w:rFonts w:cs="Arial"/>
                <w:b/>
                <w:color w:val="FFFFFF" w:themeColor="background1"/>
              </w:rPr>
              <w:t>Description</w:t>
            </w:r>
          </w:p>
        </w:tc>
      </w:tr>
      <w:tr w:rsidR="00CF5255" w:rsidRPr="0050780A" w14:paraId="5987B7E9" w14:textId="77777777" w:rsidTr="00307AED">
        <w:tc>
          <w:tcPr>
            <w:tcW w:w="2263" w:type="dxa"/>
            <w:shd w:val="clear" w:color="auto" w:fill="93B7BE"/>
            <w:vAlign w:val="center"/>
          </w:tcPr>
          <w:p w14:paraId="2DA81EFC" w14:textId="77777777" w:rsidR="00515209" w:rsidRPr="00307AED" w:rsidRDefault="00515209" w:rsidP="002B54AD">
            <w:pPr>
              <w:pStyle w:val="NormalIndented"/>
              <w:ind w:left="-21"/>
              <w:rPr>
                <w:rFonts w:cs="Arial"/>
                <w:b/>
                <w:color w:val="FFFFFF" w:themeColor="background1"/>
              </w:rPr>
            </w:pPr>
            <w:r w:rsidRPr="00307AED">
              <w:rPr>
                <w:rFonts w:cs="Arial"/>
                <w:b/>
                <w:color w:val="FFFFFF" w:themeColor="background1"/>
              </w:rPr>
              <w:t>Strategy &amp; Planning</w:t>
            </w:r>
          </w:p>
        </w:tc>
        <w:tc>
          <w:tcPr>
            <w:tcW w:w="6946" w:type="dxa"/>
          </w:tcPr>
          <w:p w14:paraId="25B98749" w14:textId="5B2B6335" w:rsidR="00515209" w:rsidRPr="0050780A" w:rsidRDefault="00515209" w:rsidP="002B54AD">
            <w:pPr>
              <w:pStyle w:val="NormalIndented"/>
              <w:ind w:left="-41"/>
              <w:rPr>
                <w:rFonts w:cs="Arial"/>
              </w:rPr>
            </w:pPr>
            <w:r w:rsidRPr="0050780A">
              <w:rPr>
                <w:rFonts w:cs="Arial"/>
              </w:rPr>
              <w:t xml:space="preserve">The overall strategy and planning for the asset management program, including establishing </w:t>
            </w:r>
            <w:r w:rsidRPr="0050780A">
              <w:rPr>
                <w:rFonts w:cs="Arial"/>
                <w:b/>
              </w:rPr>
              <w:t>levels of service</w:t>
            </w:r>
            <w:r w:rsidRPr="0050780A">
              <w:rPr>
                <w:rFonts w:cs="Arial"/>
              </w:rPr>
              <w:t xml:space="preserve">, </w:t>
            </w:r>
            <w:r w:rsidRPr="0050780A">
              <w:rPr>
                <w:rFonts w:cs="Arial"/>
                <w:b/>
              </w:rPr>
              <w:t>capital planning</w:t>
            </w:r>
            <w:r w:rsidRPr="0050780A">
              <w:rPr>
                <w:rFonts w:cs="Arial"/>
              </w:rPr>
              <w:t xml:space="preserve">, </w:t>
            </w:r>
            <w:r w:rsidRPr="0050780A">
              <w:rPr>
                <w:rFonts w:cs="Arial"/>
                <w:b/>
              </w:rPr>
              <w:t>reporting</w:t>
            </w:r>
            <w:r w:rsidRPr="0050780A">
              <w:rPr>
                <w:rFonts w:cs="Arial"/>
              </w:rPr>
              <w:t xml:space="preserve">, </w:t>
            </w:r>
            <w:r w:rsidRPr="0050780A">
              <w:rPr>
                <w:rFonts w:cs="Arial"/>
                <w:b/>
              </w:rPr>
              <w:t>corporate annual report</w:t>
            </w:r>
            <w:r w:rsidRPr="0050780A">
              <w:rPr>
                <w:rFonts w:cs="Arial"/>
              </w:rPr>
              <w:t xml:space="preserve">, and </w:t>
            </w:r>
            <w:r w:rsidRPr="0050780A">
              <w:rPr>
                <w:rFonts w:cs="Arial"/>
                <w:b/>
              </w:rPr>
              <w:t>asset management plans</w:t>
            </w:r>
            <w:r w:rsidRPr="0050780A">
              <w:rPr>
                <w:rFonts w:cs="Arial"/>
              </w:rPr>
              <w:t>.</w:t>
            </w:r>
          </w:p>
        </w:tc>
      </w:tr>
      <w:tr w:rsidR="00CF5255" w:rsidRPr="0050780A" w14:paraId="4F3126B6" w14:textId="77777777" w:rsidTr="00307AED">
        <w:tc>
          <w:tcPr>
            <w:tcW w:w="2263" w:type="dxa"/>
            <w:shd w:val="clear" w:color="auto" w:fill="009896"/>
            <w:vAlign w:val="center"/>
          </w:tcPr>
          <w:p w14:paraId="46A74EEB" w14:textId="5F7A731C" w:rsidR="00515209" w:rsidRPr="00307AED" w:rsidRDefault="00EF7163" w:rsidP="002B54AD">
            <w:pPr>
              <w:pStyle w:val="NormalIndented"/>
              <w:ind w:left="-21"/>
              <w:rPr>
                <w:rFonts w:cs="Arial"/>
                <w:b/>
                <w:color w:val="FFFFFF" w:themeColor="background1"/>
              </w:rPr>
            </w:pPr>
            <w:r w:rsidRPr="00307AED">
              <w:rPr>
                <w:rFonts w:cs="Arial"/>
                <w:b/>
                <w:color w:val="FFFFFF" w:themeColor="background1"/>
              </w:rPr>
              <w:t>Information</w:t>
            </w:r>
          </w:p>
        </w:tc>
        <w:tc>
          <w:tcPr>
            <w:tcW w:w="6946" w:type="dxa"/>
          </w:tcPr>
          <w:p w14:paraId="1B8B6F15" w14:textId="17FB39CB" w:rsidR="00515209" w:rsidRPr="0050780A" w:rsidRDefault="00515209" w:rsidP="002B54AD">
            <w:pPr>
              <w:pStyle w:val="NormalIndented"/>
              <w:ind w:left="-41"/>
              <w:rPr>
                <w:rFonts w:cs="Arial"/>
              </w:rPr>
            </w:pPr>
            <w:r w:rsidRPr="0050780A">
              <w:rPr>
                <w:rFonts w:cs="Arial"/>
              </w:rPr>
              <w:t xml:space="preserve">Steps for keeping the Asset Information System up-to-date, including </w:t>
            </w:r>
            <w:r w:rsidRPr="0050780A">
              <w:rPr>
                <w:rFonts w:cs="Arial"/>
                <w:b/>
              </w:rPr>
              <w:t>quality assurance/quality control</w:t>
            </w:r>
            <w:r w:rsidRPr="0050780A">
              <w:rPr>
                <w:rFonts w:cs="Arial"/>
              </w:rPr>
              <w:t xml:space="preserve">, and </w:t>
            </w:r>
            <w:r w:rsidRPr="0050780A">
              <w:rPr>
                <w:rFonts w:cs="Arial"/>
                <w:b/>
              </w:rPr>
              <w:t>inventory management.</w:t>
            </w:r>
          </w:p>
        </w:tc>
      </w:tr>
      <w:tr w:rsidR="00CF5255" w:rsidRPr="0050780A" w14:paraId="2BAA1BA2" w14:textId="77777777" w:rsidTr="00307AED">
        <w:tc>
          <w:tcPr>
            <w:tcW w:w="2263" w:type="dxa"/>
            <w:shd w:val="clear" w:color="auto" w:fill="E0CA3C"/>
            <w:vAlign w:val="center"/>
          </w:tcPr>
          <w:p w14:paraId="4BDB9B2C" w14:textId="77777777" w:rsidR="00515209" w:rsidRPr="00307AED" w:rsidRDefault="00515209" w:rsidP="002B54AD">
            <w:pPr>
              <w:pStyle w:val="NormalIndented"/>
              <w:ind w:left="-21"/>
              <w:rPr>
                <w:rFonts w:cs="Arial"/>
                <w:b/>
                <w:color w:val="FFFFFF" w:themeColor="background1"/>
              </w:rPr>
            </w:pPr>
            <w:r w:rsidRPr="00307AED">
              <w:rPr>
                <w:rFonts w:cs="Arial"/>
                <w:b/>
                <w:color w:val="FFFFFF" w:themeColor="background1"/>
              </w:rPr>
              <w:t>Financial Planning &amp; Management</w:t>
            </w:r>
          </w:p>
        </w:tc>
        <w:tc>
          <w:tcPr>
            <w:tcW w:w="6946" w:type="dxa"/>
          </w:tcPr>
          <w:p w14:paraId="42DCCCD0" w14:textId="651B5043" w:rsidR="00515209" w:rsidRPr="0050780A" w:rsidRDefault="00515209" w:rsidP="002B54AD">
            <w:pPr>
              <w:pStyle w:val="NormalIndented"/>
              <w:ind w:left="-41"/>
              <w:rPr>
                <w:rFonts w:cs="Arial"/>
              </w:rPr>
            </w:pPr>
            <w:r w:rsidRPr="0050780A">
              <w:rPr>
                <w:rFonts w:cs="Arial"/>
              </w:rPr>
              <w:t>Decision-making and reporting as part of</w:t>
            </w:r>
            <w:r w:rsidR="00494717" w:rsidRPr="0050780A">
              <w:rPr>
                <w:rFonts w:cs="Arial"/>
              </w:rPr>
              <w:t xml:space="preserve"> </w:t>
            </w:r>
            <w:r w:rsidR="00494717" w:rsidRPr="0050780A">
              <w:rPr>
                <w:rFonts w:cs="Arial"/>
                <w:b/>
              </w:rPr>
              <w:t>long term financial planning,</w:t>
            </w:r>
            <w:r w:rsidRPr="0050780A">
              <w:rPr>
                <w:rFonts w:cs="Arial"/>
              </w:rPr>
              <w:t xml:space="preserve"> </w:t>
            </w:r>
            <w:r w:rsidRPr="0050780A">
              <w:rPr>
                <w:rFonts w:cs="Arial"/>
                <w:b/>
              </w:rPr>
              <w:t xml:space="preserve">TCA reconciliation, </w:t>
            </w:r>
            <w:r w:rsidRPr="0050780A">
              <w:rPr>
                <w:rFonts w:cs="Arial"/>
              </w:rPr>
              <w:t xml:space="preserve">the </w:t>
            </w:r>
            <w:r w:rsidRPr="0050780A">
              <w:rPr>
                <w:rFonts w:cs="Arial"/>
                <w:b/>
              </w:rPr>
              <w:t>annual budget</w:t>
            </w:r>
            <w:r w:rsidRPr="0050780A">
              <w:rPr>
                <w:rFonts w:cs="Arial"/>
              </w:rPr>
              <w:t xml:space="preserve">, and </w:t>
            </w:r>
            <w:r w:rsidRPr="0050780A">
              <w:rPr>
                <w:rFonts w:cs="Arial"/>
                <w:b/>
              </w:rPr>
              <w:t>audited financial statements.</w:t>
            </w:r>
            <w:r w:rsidRPr="0050780A">
              <w:rPr>
                <w:rFonts w:cs="Arial"/>
              </w:rPr>
              <w:t xml:space="preserve"> </w:t>
            </w:r>
          </w:p>
        </w:tc>
      </w:tr>
      <w:tr w:rsidR="00CF5255" w:rsidRPr="0050780A" w14:paraId="78893AFF" w14:textId="77777777" w:rsidTr="00307AED">
        <w:tc>
          <w:tcPr>
            <w:tcW w:w="2263" w:type="dxa"/>
            <w:shd w:val="clear" w:color="auto" w:fill="A799B7"/>
            <w:vAlign w:val="center"/>
          </w:tcPr>
          <w:p w14:paraId="37F2E80C" w14:textId="25945C95" w:rsidR="00515209" w:rsidRPr="00307AED" w:rsidRDefault="009302FA" w:rsidP="002B54AD">
            <w:pPr>
              <w:pStyle w:val="NormalIndented"/>
              <w:ind w:left="-21"/>
              <w:rPr>
                <w:rFonts w:cs="Arial"/>
                <w:b/>
                <w:color w:val="FFFFFF" w:themeColor="background1"/>
              </w:rPr>
            </w:pPr>
            <w:r w:rsidRPr="00307AED">
              <w:rPr>
                <w:rFonts w:cs="Arial"/>
                <w:b/>
                <w:color w:val="FFFFFF" w:themeColor="background1"/>
              </w:rPr>
              <w:t>Communications</w:t>
            </w:r>
          </w:p>
        </w:tc>
        <w:tc>
          <w:tcPr>
            <w:tcW w:w="6946" w:type="dxa"/>
          </w:tcPr>
          <w:p w14:paraId="7CBCF829" w14:textId="56EA9C23" w:rsidR="00515209" w:rsidRPr="0050780A" w:rsidRDefault="00515209" w:rsidP="002B54AD">
            <w:pPr>
              <w:pStyle w:val="NormalIndented"/>
              <w:ind w:left="-41"/>
              <w:rPr>
                <w:rFonts w:cs="Arial"/>
              </w:rPr>
            </w:pPr>
            <w:r w:rsidRPr="0050780A">
              <w:rPr>
                <w:rFonts w:cs="Arial"/>
              </w:rPr>
              <w:t xml:space="preserve">Strategies for </w:t>
            </w:r>
            <w:r w:rsidR="00494717" w:rsidRPr="0050780A">
              <w:rPr>
                <w:rFonts w:cs="Arial"/>
              </w:rPr>
              <w:t xml:space="preserve">empowering people to make decisions, </w:t>
            </w:r>
            <w:r w:rsidRPr="0050780A">
              <w:rPr>
                <w:rFonts w:cs="Arial"/>
              </w:rPr>
              <w:t xml:space="preserve">building community awareness and gathering community feedback through a </w:t>
            </w:r>
            <w:r w:rsidR="00494717" w:rsidRPr="0050780A">
              <w:rPr>
                <w:rFonts w:cs="Arial"/>
                <w:b/>
              </w:rPr>
              <w:t xml:space="preserve">succession plan, knowledge building, a </w:t>
            </w:r>
            <w:r w:rsidRPr="0050780A">
              <w:rPr>
                <w:rFonts w:cs="Arial"/>
                <w:b/>
              </w:rPr>
              <w:t xml:space="preserve">communication strategy, public engagement initiatives, </w:t>
            </w:r>
            <w:r w:rsidRPr="0050780A">
              <w:rPr>
                <w:rFonts w:cs="Arial"/>
              </w:rPr>
              <w:t xml:space="preserve">and </w:t>
            </w:r>
            <w:r w:rsidRPr="0050780A">
              <w:rPr>
                <w:rFonts w:cs="Arial"/>
                <w:b/>
              </w:rPr>
              <w:t>linkages with corporate plans and strategies</w:t>
            </w:r>
            <w:r w:rsidRPr="0050780A">
              <w:rPr>
                <w:rFonts w:cs="Arial"/>
              </w:rPr>
              <w:t xml:space="preserve">. </w:t>
            </w:r>
          </w:p>
        </w:tc>
      </w:tr>
    </w:tbl>
    <w:p w14:paraId="60D60045" w14:textId="2BF0A074" w:rsidR="007F6EFB" w:rsidRPr="002B54AD" w:rsidRDefault="0089399A" w:rsidP="002B54AD">
      <w:pPr>
        <w:spacing w:before="120" w:after="120" w:line="360" w:lineRule="auto"/>
        <w:ind w:left="-450" w:right="-540"/>
        <w:rPr>
          <w:rFonts w:ascii="Arial" w:hAnsi="Arial" w:cs="Arial"/>
          <w:b/>
          <w:sz w:val="28"/>
          <w:szCs w:val="32"/>
        </w:rPr>
      </w:pPr>
      <w:r w:rsidRPr="002B54AD">
        <w:rPr>
          <w:rFonts w:ascii="Arial" w:hAnsi="Arial" w:cs="Arial"/>
          <w:b/>
          <w:sz w:val="28"/>
          <w:szCs w:val="32"/>
        </w:rPr>
        <w:t>Asset Management Team</w:t>
      </w:r>
    </w:p>
    <w:p w14:paraId="201F2DB4" w14:textId="3AE408F8" w:rsidR="00B70AB4" w:rsidRPr="002B54AD" w:rsidRDefault="00B70AB4" w:rsidP="0050780A">
      <w:pPr>
        <w:spacing w:before="240" w:after="120" w:line="240" w:lineRule="auto"/>
        <w:ind w:left="-450" w:right="-540"/>
        <w:contextualSpacing/>
        <w:rPr>
          <w:rFonts w:ascii="Arial" w:hAnsi="Arial" w:cs="Arial"/>
          <w:sz w:val="20"/>
          <w:szCs w:val="20"/>
        </w:rPr>
      </w:pPr>
      <w:r w:rsidRPr="002B54AD">
        <w:rPr>
          <w:rFonts w:ascii="Arial" w:hAnsi="Arial" w:cs="Arial"/>
          <w:sz w:val="20"/>
          <w:szCs w:val="20"/>
        </w:rPr>
        <w:t xml:space="preserve">The </w:t>
      </w:r>
      <w:r w:rsidRPr="002B54AD">
        <w:rPr>
          <w:rFonts w:ascii="Arial" w:hAnsi="Arial" w:cs="Arial"/>
          <w:sz w:val="20"/>
          <w:szCs w:val="20"/>
          <w:highlight w:val="yellow"/>
        </w:rPr>
        <w:t>(Community)</w:t>
      </w:r>
      <w:r w:rsidRPr="002B54AD">
        <w:rPr>
          <w:rFonts w:ascii="Arial" w:hAnsi="Arial" w:cs="Arial"/>
          <w:sz w:val="20"/>
          <w:szCs w:val="20"/>
        </w:rPr>
        <w:t xml:space="preserve">’s asset management team is made up of key representatives from across departments and disciplines. </w:t>
      </w:r>
      <w:r w:rsidR="00326ED1" w:rsidRPr="002B54AD">
        <w:rPr>
          <w:rFonts w:ascii="Arial" w:hAnsi="Arial" w:cs="Arial"/>
          <w:sz w:val="20"/>
          <w:szCs w:val="20"/>
        </w:rPr>
        <w:t xml:space="preserve"> </w:t>
      </w:r>
      <w:r w:rsidR="00826D8A" w:rsidRPr="002B54AD">
        <w:rPr>
          <w:rFonts w:ascii="Arial" w:hAnsi="Arial" w:cs="Arial"/>
          <w:sz w:val="20"/>
          <w:szCs w:val="20"/>
        </w:rPr>
        <w:t>This team is responsible for leading each aspect of the program</w:t>
      </w:r>
      <w:r w:rsidR="00561616" w:rsidRPr="002B54AD">
        <w:rPr>
          <w:rFonts w:ascii="Arial" w:hAnsi="Arial" w:cs="Arial"/>
          <w:sz w:val="20"/>
          <w:szCs w:val="20"/>
        </w:rPr>
        <w:t>’</w:t>
      </w:r>
      <w:r w:rsidR="00826D8A" w:rsidRPr="002B54AD">
        <w:rPr>
          <w:rFonts w:ascii="Arial" w:hAnsi="Arial" w:cs="Arial"/>
          <w:sz w:val="20"/>
          <w:szCs w:val="20"/>
        </w:rPr>
        <w:t xml:space="preserve">s delivery.  </w:t>
      </w:r>
      <w:r w:rsidRPr="002B54AD">
        <w:rPr>
          <w:rFonts w:ascii="Arial" w:hAnsi="Arial" w:cs="Arial"/>
          <w:sz w:val="20"/>
          <w:szCs w:val="20"/>
        </w:rPr>
        <w:t xml:space="preserve">The Terms of Reference for the Asset Management Team is attached. </w:t>
      </w:r>
      <w:r w:rsidRPr="002B54AD">
        <w:rPr>
          <w:rFonts w:ascii="Arial" w:hAnsi="Arial" w:cs="Arial"/>
          <w:sz w:val="20"/>
          <w:szCs w:val="20"/>
          <w:highlight w:val="yellow"/>
        </w:rPr>
        <w:t>(prepare and attach using direction from the guide, or delete reference)</w:t>
      </w:r>
    </w:p>
    <w:p w14:paraId="61966C6C" w14:textId="36788E19" w:rsidR="002D5372" w:rsidRPr="002B54AD" w:rsidRDefault="002D5372" w:rsidP="0050780A">
      <w:pPr>
        <w:spacing w:before="240" w:after="120" w:line="360" w:lineRule="auto"/>
        <w:ind w:left="-450"/>
        <w:rPr>
          <w:rFonts w:ascii="Arial" w:hAnsi="Arial" w:cs="Arial"/>
          <w:sz w:val="20"/>
          <w:szCs w:val="20"/>
          <w:u w:val="single"/>
        </w:rPr>
      </w:pPr>
      <w:r w:rsidRPr="002B54AD">
        <w:rPr>
          <w:rFonts w:ascii="Arial" w:hAnsi="Arial" w:cs="Arial"/>
          <w:sz w:val="20"/>
          <w:szCs w:val="20"/>
        </w:rPr>
        <w:t xml:space="preserve">Lead: </w:t>
      </w:r>
      <w:r w:rsidRPr="002B54AD">
        <w:rPr>
          <w:rFonts w:ascii="Arial" w:hAnsi="Arial" w:cs="Arial"/>
          <w:sz w:val="20"/>
          <w:szCs w:val="20"/>
        </w:rPr>
        <w:tab/>
      </w:r>
      <w:r w:rsidRPr="002B54AD">
        <w:rPr>
          <w:rFonts w:ascii="Arial" w:hAnsi="Arial" w:cs="Arial"/>
          <w:sz w:val="20"/>
          <w:szCs w:val="20"/>
          <w:u w:val="single"/>
        </w:rPr>
        <w:t>_________________________________________________</w:t>
      </w:r>
    </w:p>
    <w:p w14:paraId="3F3B0379" w14:textId="28391C72" w:rsidR="002D5372" w:rsidRPr="002B54AD" w:rsidRDefault="002D5372" w:rsidP="0050780A">
      <w:pPr>
        <w:spacing w:before="240" w:after="120" w:line="360" w:lineRule="auto"/>
        <w:ind w:left="-450"/>
        <w:contextualSpacing/>
        <w:rPr>
          <w:rFonts w:ascii="Arial" w:hAnsi="Arial" w:cs="Arial"/>
          <w:sz w:val="20"/>
          <w:szCs w:val="20"/>
          <w:u w:val="single"/>
        </w:rPr>
      </w:pPr>
      <w:r w:rsidRPr="002B54AD">
        <w:rPr>
          <w:rFonts w:ascii="Arial" w:hAnsi="Arial" w:cs="Arial"/>
          <w:sz w:val="20"/>
          <w:szCs w:val="20"/>
        </w:rPr>
        <w:t xml:space="preserve">Key Players: </w:t>
      </w:r>
    </w:p>
    <w:p w14:paraId="6C3250A5" w14:textId="56FCE154" w:rsidR="002D5372" w:rsidRPr="002B54AD" w:rsidRDefault="002D5372" w:rsidP="0050780A">
      <w:pPr>
        <w:spacing w:before="240" w:after="120" w:line="360" w:lineRule="auto"/>
        <w:ind w:firstLine="720"/>
        <w:contextualSpacing/>
        <w:rPr>
          <w:rFonts w:ascii="Arial" w:hAnsi="Arial" w:cs="Arial"/>
          <w:sz w:val="20"/>
          <w:szCs w:val="20"/>
          <w:u w:val="single"/>
        </w:rPr>
      </w:pPr>
      <w:r w:rsidRPr="002B54AD">
        <w:rPr>
          <w:rFonts w:ascii="Arial" w:hAnsi="Arial" w:cs="Arial"/>
          <w:sz w:val="20"/>
          <w:szCs w:val="20"/>
          <w:u w:val="single"/>
        </w:rPr>
        <w:t>_________________________________________________</w:t>
      </w:r>
    </w:p>
    <w:p w14:paraId="3E5D41A9" w14:textId="27675942" w:rsidR="002D5372" w:rsidRPr="002B54AD" w:rsidRDefault="002D5372" w:rsidP="0050780A">
      <w:pPr>
        <w:spacing w:before="240" w:after="120" w:line="360" w:lineRule="auto"/>
        <w:ind w:firstLine="720"/>
        <w:contextualSpacing/>
        <w:rPr>
          <w:rFonts w:ascii="Arial" w:hAnsi="Arial" w:cs="Arial"/>
          <w:sz w:val="20"/>
          <w:szCs w:val="20"/>
          <w:u w:val="single"/>
        </w:rPr>
      </w:pPr>
      <w:r w:rsidRPr="002B54AD">
        <w:rPr>
          <w:rFonts w:ascii="Arial" w:hAnsi="Arial" w:cs="Arial"/>
          <w:sz w:val="20"/>
          <w:szCs w:val="20"/>
          <w:u w:val="single"/>
        </w:rPr>
        <w:t>_________________________________________________</w:t>
      </w:r>
    </w:p>
    <w:p w14:paraId="42D7F78B" w14:textId="194F367B" w:rsidR="0050780A" w:rsidRDefault="002D5372" w:rsidP="0050780A">
      <w:pPr>
        <w:spacing w:before="240" w:after="120" w:line="360" w:lineRule="auto"/>
        <w:ind w:firstLine="720"/>
        <w:contextualSpacing/>
        <w:rPr>
          <w:rFonts w:ascii="Arial" w:hAnsi="Arial" w:cs="Arial"/>
          <w:sz w:val="20"/>
          <w:szCs w:val="20"/>
          <w:u w:val="single"/>
        </w:rPr>
      </w:pPr>
      <w:r w:rsidRPr="002B54AD">
        <w:rPr>
          <w:rFonts w:ascii="Arial" w:hAnsi="Arial" w:cs="Arial"/>
          <w:sz w:val="20"/>
          <w:szCs w:val="20"/>
          <w:u w:val="single"/>
        </w:rPr>
        <w:t>________________________________________________</w:t>
      </w:r>
      <w:r w:rsidR="00B70AB4" w:rsidRPr="002B54AD">
        <w:rPr>
          <w:rFonts w:ascii="Arial" w:hAnsi="Arial" w:cs="Arial"/>
          <w:sz w:val="20"/>
          <w:szCs w:val="20"/>
          <w:u w:val="single"/>
        </w:rPr>
        <w:t>_</w:t>
      </w:r>
    </w:p>
    <w:p w14:paraId="0EE9B992" w14:textId="77777777" w:rsidR="0050780A" w:rsidRDefault="0050780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6A8A9328" w14:textId="6DDFB7C4" w:rsidR="00E96D4A" w:rsidRPr="002B54AD" w:rsidRDefault="004B4E5B" w:rsidP="0050780A">
      <w:pPr>
        <w:spacing w:before="120" w:after="120" w:line="360" w:lineRule="auto"/>
        <w:ind w:left="-450"/>
        <w:rPr>
          <w:rFonts w:ascii="Arial" w:hAnsi="Arial" w:cs="Arial"/>
          <w:b/>
          <w:sz w:val="28"/>
          <w:szCs w:val="32"/>
        </w:rPr>
      </w:pPr>
      <w:r w:rsidRPr="002B54AD">
        <w:rPr>
          <w:rFonts w:ascii="Arial" w:hAnsi="Arial" w:cs="Arial"/>
          <w:b/>
          <w:sz w:val="28"/>
          <w:szCs w:val="32"/>
        </w:rPr>
        <w:lastRenderedPageBreak/>
        <w:t xml:space="preserve">Existing </w:t>
      </w:r>
      <w:r w:rsidR="00E96D4A" w:rsidRPr="002B54AD">
        <w:rPr>
          <w:rFonts w:ascii="Arial" w:hAnsi="Arial" w:cs="Arial"/>
          <w:b/>
          <w:sz w:val="28"/>
          <w:szCs w:val="32"/>
        </w:rPr>
        <w:t>Resources</w:t>
      </w:r>
    </w:p>
    <w:p w14:paraId="03461065" w14:textId="26B5A0C0" w:rsidR="00C9224D" w:rsidRPr="002B54AD" w:rsidRDefault="00C9224D" w:rsidP="0050780A">
      <w:pPr>
        <w:spacing w:before="240" w:after="120" w:line="240" w:lineRule="auto"/>
        <w:ind w:left="-450" w:right="-540"/>
        <w:contextualSpacing/>
        <w:rPr>
          <w:rFonts w:ascii="Arial" w:hAnsi="Arial" w:cs="Arial"/>
          <w:sz w:val="20"/>
          <w:szCs w:val="20"/>
        </w:rPr>
      </w:pPr>
      <w:r w:rsidRPr="002B54AD">
        <w:rPr>
          <w:rFonts w:ascii="Arial" w:hAnsi="Arial" w:cs="Arial"/>
          <w:sz w:val="20"/>
          <w:szCs w:val="20"/>
        </w:rPr>
        <w:t>The following existing resources are in place which directly or indirectly inform</w:t>
      </w:r>
      <w:r w:rsidR="009D2896" w:rsidRPr="002B54AD">
        <w:rPr>
          <w:rFonts w:ascii="Arial" w:hAnsi="Arial" w:cs="Arial"/>
          <w:sz w:val="20"/>
          <w:szCs w:val="20"/>
        </w:rPr>
        <w:t xml:space="preserve"> </w:t>
      </w:r>
      <w:r w:rsidR="00B57137" w:rsidRPr="002B54AD">
        <w:rPr>
          <w:rFonts w:ascii="Arial" w:hAnsi="Arial" w:cs="Arial"/>
          <w:sz w:val="20"/>
          <w:szCs w:val="20"/>
        </w:rPr>
        <w:t>and</w:t>
      </w:r>
      <w:r w:rsidR="009D2896" w:rsidRPr="002B54AD">
        <w:rPr>
          <w:rFonts w:ascii="Arial" w:hAnsi="Arial" w:cs="Arial"/>
          <w:sz w:val="20"/>
          <w:szCs w:val="20"/>
        </w:rPr>
        <w:t xml:space="preserve"> support</w:t>
      </w:r>
      <w:r w:rsidRPr="002B54AD">
        <w:rPr>
          <w:rFonts w:ascii="Arial" w:hAnsi="Arial" w:cs="Arial"/>
          <w:sz w:val="20"/>
          <w:szCs w:val="20"/>
        </w:rPr>
        <w:t xml:space="preserve"> the </w:t>
      </w:r>
      <w:r w:rsidR="009D2896" w:rsidRPr="002B54AD">
        <w:rPr>
          <w:rFonts w:ascii="Arial" w:hAnsi="Arial" w:cs="Arial"/>
          <w:sz w:val="20"/>
          <w:szCs w:val="20"/>
          <w:highlight w:val="yellow"/>
        </w:rPr>
        <w:t>(Community)</w:t>
      </w:r>
      <w:r w:rsidR="009D2896" w:rsidRPr="002B54AD">
        <w:rPr>
          <w:rFonts w:ascii="Arial" w:hAnsi="Arial" w:cs="Arial"/>
          <w:sz w:val="20"/>
          <w:szCs w:val="20"/>
        </w:rPr>
        <w:t xml:space="preserve">’s </w:t>
      </w:r>
      <w:r w:rsidRPr="002B54AD">
        <w:rPr>
          <w:rFonts w:ascii="Arial" w:hAnsi="Arial" w:cs="Arial"/>
          <w:sz w:val="20"/>
          <w:szCs w:val="20"/>
        </w:rPr>
        <w:t xml:space="preserve">asset management </w:t>
      </w:r>
      <w:r w:rsidR="009D2896" w:rsidRPr="002B54AD">
        <w:rPr>
          <w:rFonts w:ascii="Arial" w:hAnsi="Arial" w:cs="Arial"/>
          <w:sz w:val="20"/>
          <w:szCs w:val="20"/>
        </w:rPr>
        <w:t>decision-making</w:t>
      </w:r>
      <w:r w:rsidR="00B57137" w:rsidRPr="002B54A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50"/>
        <w:gridCol w:w="7106"/>
      </w:tblGrid>
      <w:tr w:rsidR="00CF5255" w:rsidRPr="0050780A" w14:paraId="67066B23" w14:textId="77777777" w:rsidTr="0050780A">
        <w:tc>
          <w:tcPr>
            <w:tcW w:w="2250" w:type="dxa"/>
            <w:shd w:val="clear" w:color="auto" w:fill="00323E"/>
          </w:tcPr>
          <w:p w14:paraId="4C522F54" w14:textId="77777777" w:rsidR="00A729F6" w:rsidRPr="0050780A" w:rsidRDefault="00A729F6" w:rsidP="00EA116C">
            <w:pPr>
              <w:pStyle w:val="NormalIndented"/>
              <w:ind w:left="0"/>
              <w:rPr>
                <w:rFonts w:cs="Arial"/>
                <w:b/>
              </w:rPr>
            </w:pPr>
          </w:p>
        </w:tc>
        <w:tc>
          <w:tcPr>
            <w:tcW w:w="7106" w:type="dxa"/>
            <w:shd w:val="clear" w:color="auto" w:fill="00323E"/>
            <w:vAlign w:val="center"/>
          </w:tcPr>
          <w:p w14:paraId="07EE963E" w14:textId="77777777" w:rsidR="00A729F6" w:rsidRPr="0050780A" w:rsidRDefault="00A729F6" w:rsidP="00EA116C">
            <w:pPr>
              <w:jc w:val="center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>Key Plans &amp; Policies</w:t>
            </w:r>
          </w:p>
        </w:tc>
      </w:tr>
      <w:tr w:rsidR="00CF5255" w:rsidRPr="0050780A" w14:paraId="102206F8" w14:textId="77777777" w:rsidTr="0050780A">
        <w:tc>
          <w:tcPr>
            <w:tcW w:w="2250" w:type="dxa"/>
            <w:shd w:val="clear" w:color="auto" w:fill="auto"/>
            <w:vAlign w:val="center"/>
          </w:tcPr>
          <w:p w14:paraId="7C491AC4" w14:textId="77777777" w:rsidR="00A729F6" w:rsidRPr="0050780A" w:rsidRDefault="00A729F6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>Community-Wide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1DEEC74" w14:textId="51788070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cs="Arial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>(insert relevant documents – eg. community plan, strategy, financial plan, capital plan, area development plans, climate change adaptation plan, energy plan, annual report, asset management plan</w:t>
            </w:r>
            <w:r w:rsidR="004070F4" w:rsidRPr="0050780A">
              <w:rPr>
                <w:rFonts w:eastAsiaTheme="minorHAnsi" w:cs="Arial"/>
                <w:highlight w:val="yellow"/>
                <w:lang w:eastAsia="en-US"/>
              </w:rPr>
              <w:t>, asset management policy, levels of service</w:t>
            </w:r>
            <w:r w:rsidRPr="0050780A">
              <w:rPr>
                <w:rFonts w:eastAsiaTheme="minorHAnsi" w:cs="Arial"/>
                <w:highlight w:val="yellow"/>
                <w:lang w:eastAsia="en-US"/>
              </w:rPr>
              <w:t>)</w:t>
            </w:r>
          </w:p>
        </w:tc>
      </w:tr>
      <w:tr w:rsidR="00CF5255" w:rsidRPr="0050780A" w14:paraId="22A3918F" w14:textId="77777777" w:rsidTr="0050780A">
        <w:tc>
          <w:tcPr>
            <w:tcW w:w="2250" w:type="dxa"/>
            <w:shd w:val="clear" w:color="auto" w:fill="auto"/>
            <w:vAlign w:val="center"/>
          </w:tcPr>
          <w:p w14:paraId="04721012" w14:textId="19A11510" w:rsidR="00A729F6" w:rsidRPr="0050780A" w:rsidRDefault="00A729F6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 xml:space="preserve">Water 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D09F909" w14:textId="6A020A25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>(insert relevant documents – eg.  water servicing plan, master plan, design criteria, specifications)</w:t>
            </w:r>
          </w:p>
        </w:tc>
      </w:tr>
      <w:tr w:rsidR="00CF5255" w:rsidRPr="0050780A" w14:paraId="5D1E7C16" w14:textId="77777777" w:rsidTr="0050780A">
        <w:tc>
          <w:tcPr>
            <w:tcW w:w="2250" w:type="dxa"/>
            <w:shd w:val="clear" w:color="auto" w:fill="auto"/>
            <w:vAlign w:val="center"/>
          </w:tcPr>
          <w:p w14:paraId="7813D2C5" w14:textId="53B1C00F" w:rsidR="00A729F6" w:rsidRPr="0050780A" w:rsidRDefault="004B017B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 xml:space="preserve">Sewer 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6F6977E" w14:textId="3B2E5131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 xml:space="preserve">(insert relevant documents – eg.  </w:t>
            </w:r>
            <w:r w:rsidR="00991F20" w:rsidRPr="0050780A">
              <w:rPr>
                <w:rFonts w:eastAsiaTheme="minorHAnsi" w:cs="Arial"/>
                <w:highlight w:val="yellow"/>
                <w:lang w:eastAsia="en-US"/>
              </w:rPr>
              <w:t xml:space="preserve">sewer </w:t>
            </w:r>
            <w:r w:rsidRPr="0050780A">
              <w:rPr>
                <w:rFonts w:eastAsiaTheme="minorHAnsi" w:cs="Arial"/>
                <w:highlight w:val="yellow"/>
                <w:lang w:eastAsia="en-US"/>
              </w:rPr>
              <w:t>servicing plan, master plan, design criteria, specifications)</w:t>
            </w:r>
          </w:p>
        </w:tc>
      </w:tr>
      <w:tr w:rsidR="00CF5255" w:rsidRPr="0050780A" w14:paraId="15DF7550" w14:textId="77777777" w:rsidTr="0050780A">
        <w:tc>
          <w:tcPr>
            <w:tcW w:w="2250" w:type="dxa"/>
            <w:shd w:val="clear" w:color="auto" w:fill="auto"/>
            <w:vAlign w:val="center"/>
          </w:tcPr>
          <w:p w14:paraId="758B447C" w14:textId="6942735F" w:rsidR="00A729F6" w:rsidRPr="0050780A" w:rsidRDefault="004B017B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>Roads &amp; Drainage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49F7F32" w14:textId="5D19435F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 xml:space="preserve">(insert relevant documents – eg.  </w:t>
            </w:r>
            <w:r w:rsidR="00991F20" w:rsidRPr="0050780A">
              <w:rPr>
                <w:rFonts w:eastAsiaTheme="minorHAnsi" w:cs="Arial"/>
                <w:highlight w:val="yellow"/>
                <w:lang w:eastAsia="en-US"/>
              </w:rPr>
              <w:t>roads and drainage</w:t>
            </w:r>
            <w:r w:rsidRPr="0050780A">
              <w:rPr>
                <w:rFonts w:eastAsiaTheme="minorHAnsi" w:cs="Arial"/>
                <w:highlight w:val="yellow"/>
                <w:lang w:eastAsia="en-US"/>
              </w:rPr>
              <w:t xml:space="preserve"> servicing plan, master plan, design criteria, specifications)</w:t>
            </w:r>
          </w:p>
        </w:tc>
      </w:tr>
      <w:tr w:rsidR="00CF5255" w:rsidRPr="0050780A" w14:paraId="0BF2CF9C" w14:textId="77777777" w:rsidTr="0050780A">
        <w:tc>
          <w:tcPr>
            <w:tcW w:w="2250" w:type="dxa"/>
            <w:shd w:val="clear" w:color="auto" w:fill="auto"/>
            <w:vAlign w:val="center"/>
          </w:tcPr>
          <w:p w14:paraId="38A430DD" w14:textId="768D3D72" w:rsidR="00A729F6" w:rsidRPr="0050780A" w:rsidRDefault="00A729F6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 xml:space="preserve">Buildings 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8E7B40B" w14:textId="28E7479B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>(insert relevant documents – eg.  master plan)</w:t>
            </w:r>
          </w:p>
        </w:tc>
      </w:tr>
      <w:tr w:rsidR="00CF5255" w:rsidRPr="0050780A" w14:paraId="136B24A7" w14:textId="77777777" w:rsidTr="0050780A">
        <w:tc>
          <w:tcPr>
            <w:tcW w:w="2250" w:type="dxa"/>
            <w:shd w:val="clear" w:color="auto" w:fill="auto"/>
            <w:vAlign w:val="center"/>
          </w:tcPr>
          <w:p w14:paraId="7D133D54" w14:textId="7128D908" w:rsidR="00A729F6" w:rsidRPr="0050780A" w:rsidRDefault="004B017B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>Recreation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AD0481C" w14:textId="08124C98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>(insert relevant documents – eg.  master plan</w:t>
            </w:r>
            <w:r w:rsidR="00991F20" w:rsidRPr="0050780A">
              <w:rPr>
                <w:rFonts w:eastAsiaTheme="minorHAnsi" w:cs="Arial"/>
                <w:highlight w:val="yellow"/>
                <w:lang w:eastAsia="en-US"/>
              </w:rPr>
              <w:t>, active transportation plan</w:t>
            </w:r>
            <w:r w:rsidRPr="0050780A">
              <w:rPr>
                <w:rFonts w:eastAsiaTheme="minorHAnsi" w:cs="Arial"/>
                <w:highlight w:val="yellow"/>
                <w:lang w:eastAsia="en-US"/>
              </w:rPr>
              <w:t>)</w:t>
            </w:r>
          </w:p>
        </w:tc>
      </w:tr>
      <w:tr w:rsidR="00CF5255" w:rsidRPr="0050780A" w14:paraId="56445E17" w14:textId="77777777" w:rsidTr="0050780A">
        <w:tc>
          <w:tcPr>
            <w:tcW w:w="2250" w:type="dxa"/>
            <w:shd w:val="clear" w:color="auto" w:fill="auto"/>
            <w:vAlign w:val="center"/>
          </w:tcPr>
          <w:p w14:paraId="1069E347" w14:textId="471B0A95" w:rsidR="00A729F6" w:rsidRPr="0050780A" w:rsidRDefault="00A729F6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 xml:space="preserve">Vehicles 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940CEA5" w14:textId="7E42508A" w:rsidR="00A729F6" w:rsidRPr="0050780A" w:rsidRDefault="00B57137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>(insert relevant documents – eg.  maintenance strategies)</w:t>
            </w:r>
          </w:p>
        </w:tc>
      </w:tr>
      <w:tr w:rsidR="00CF5255" w:rsidRPr="0050780A" w14:paraId="38A432CF" w14:textId="77777777" w:rsidTr="0050780A">
        <w:tc>
          <w:tcPr>
            <w:tcW w:w="2250" w:type="dxa"/>
            <w:vAlign w:val="center"/>
          </w:tcPr>
          <w:p w14:paraId="17DA8381" w14:textId="48916338" w:rsidR="00A729F6" w:rsidRPr="0050780A" w:rsidRDefault="004B017B" w:rsidP="0050780A">
            <w:pPr>
              <w:spacing w:before="60" w:after="60"/>
              <w:rPr>
                <w:rFonts w:cs="Arial"/>
                <w:b/>
              </w:rPr>
            </w:pPr>
            <w:r w:rsidRPr="0050780A">
              <w:rPr>
                <w:rFonts w:cs="Arial"/>
                <w:b/>
              </w:rPr>
              <w:t>Heavy Equipment</w:t>
            </w:r>
          </w:p>
        </w:tc>
        <w:tc>
          <w:tcPr>
            <w:tcW w:w="7106" w:type="dxa"/>
            <w:vAlign w:val="center"/>
          </w:tcPr>
          <w:p w14:paraId="02B6C4B0" w14:textId="1761DD17" w:rsidR="00A729F6" w:rsidRPr="0050780A" w:rsidRDefault="00991F20" w:rsidP="0050780A">
            <w:pPr>
              <w:pStyle w:val="ListParagraph"/>
              <w:numPr>
                <w:ilvl w:val="0"/>
                <w:numId w:val="1"/>
              </w:numPr>
              <w:spacing w:before="60" w:after="60"/>
              <w:ind w:left="370"/>
              <w:rPr>
                <w:rFonts w:eastAsiaTheme="minorHAnsi" w:cs="Arial"/>
                <w:highlight w:val="yellow"/>
                <w:lang w:eastAsia="en-US"/>
              </w:rPr>
            </w:pPr>
            <w:r w:rsidRPr="0050780A">
              <w:rPr>
                <w:rFonts w:eastAsiaTheme="minorHAnsi" w:cs="Arial"/>
                <w:highlight w:val="yellow"/>
                <w:lang w:eastAsia="en-US"/>
              </w:rPr>
              <w:t>(insert relevant documents – eg.  maintenance strategies)</w:t>
            </w:r>
          </w:p>
        </w:tc>
      </w:tr>
    </w:tbl>
    <w:p w14:paraId="5D194555" w14:textId="00F38466" w:rsidR="00F54EB1" w:rsidRPr="002B54AD" w:rsidRDefault="00E96D4A" w:rsidP="0050780A">
      <w:pPr>
        <w:spacing w:before="120" w:after="120"/>
        <w:ind w:left="-450" w:right="-540"/>
        <w:rPr>
          <w:rFonts w:ascii="Arial" w:hAnsi="Arial" w:cs="Arial"/>
          <w:b/>
          <w:sz w:val="28"/>
          <w:szCs w:val="32"/>
        </w:rPr>
      </w:pPr>
      <w:r w:rsidRPr="002B54AD">
        <w:rPr>
          <w:rFonts w:ascii="Arial" w:hAnsi="Arial" w:cs="Arial"/>
          <w:b/>
          <w:sz w:val="28"/>
          <w:szCs w:val="32"/>
        </w:rPr>
        <w:t>Actions for Implementation</w:t>
      </w:r>
    </w:p>
    <w:p w14:paraId="2725EDBA" w14:textId="6F7BBE9E" w:rsidR="00C901A5" w:rsidRPr="002B54AD" w:rsidRDefault="00C901A5" w:rsidP="0050780A">
      <w:pPr>
        <w:spacing w:after="120" w:line="240" w:lineRule="auto"/>
        <w:ind w:left="-450" w:right="-540"/>
        <w:rPr>
          <w:rFonts w:ascii="Arial" w:hAnsi="Arial" w:cs="Arial"/>
          <w:sz w:val="20"/>
          <w:szCs w:val="20"/>
        </w:rPr>
      </w:pPr>
      <w:r w:rsidRPr="002B54AD">
        <w:rPr>
          <w:rFonts w:ascii="Arial" w:hAnsi="Arial" w:cs="Arial"/>
          <w:sz w:val="20"/>
          <w:szCs w:val="20"/>
        </w:rPr>
        <w:t xml:space="preserve">The </w:t>
      </w:r>
      <w:r w:rsidRPr="002B54AD">
        <w:rPr>
          <w:rFonts w:ascii="Arial" w:hAnsi="Arial" w:cs="Arial"/>
          <w:sz w:val="20"/>
          <w:szCs w:val="20"/>
          <w:highlight w:val="yellow"/>
        </w:rPr>
        <w:t>(Community)</w:t>
      </w:r>
      <w:r w:rsidRPr="002B54AD">
        <w:rPr>
          <w:rFonts w:ascii="Arial" w:hAnsi="Arial" w:cs="Arial"/>
          <w:sz w:val="20"/>
          <w:szCs w:val="20"/>
        </w:rPr>
        <w:t xml:space="preserve">’s asset management program will involve both continued </w:t>
      </w:r>
      <w:r w:rsidR="00FA614D" w:rsidRPr="002B54AD">
        <w:rPr>
          <w:rFonts w:ascii="Arial" w:hAnsi="Arial" w:cs="Arial"/>
          <w:sz w:val="20"/>
          <w:szCs w:val="20"/>
        </w:rPr>
        <w:t>developments</w:t>
      </w:r>
      <w:r w:rsidRPr="002B54AD">
        <w:rPr>
          <w:rFonts w:ascii="Arial" w:hAnsi="Arial" w:cs="Arial"/>
          <w:sz w:val="20"/>
          <w:szCs w:val="20"/>
        </w:rPr>
        <w:t>, as well as implementation, over time.  Some of these actions will occur in parallel.</w:t>
      </w:r>
    </w:p>
    <w:p w14:paraId="33187EDA" w14:textId="1841960B" w:rsidR="00934502" w:rsidRPr="002B54AD" w:rsidRDefault="00934502" w:rsidP="0050780A">
      <w:pPr>
        <w:spacing w:after="120" w:line="240" w:lineRule="auto"/>
        <w:ind w:left="-450" w:right="-540"/>
        <w:rPr>
          <w:rFonts w:ascii="Arial" w:hAnsi="Arial" w:cs="Arial"/>
          <w:sz w:val="20"/>
          <w:szCs w:val="20"/>
        </w:rPr>
      </w:pPr>
      <w:r w:rsidRPr="002B54AD">
        <w:rPr>
          <w:rFonts w:ascii="Arial" w:hAnsi="Arial" w:cs="Arial"/>
          <w:sz w:val="20"/>
          <w:szCs w:val="20"/>
        </w:rPr>
        <w:t xml:space="preserve">Priority initiatives for continuing to develop the </w:t>
      </w:r>
      <w:r w:rsidRPr="002B54AD">
        <w:rPr>
          <w:rFonts w:ascii="Arial" w:hAnsi="Arial" w:cs="Arial"/>
          <w:sz w:val="20"/>
          <w:szCs w:val="20"/>
          <w:highlight w:val="yellow"/>
        </w:rPr>
        <w:t>(Community)</w:t>
      </w:r>
      <w:r w:rsidRPr="002B54AD">
        <w:rPr>
          <w:rFonts w:ascii="Arial" w:hAnsi="Arial" w:cs="Arial"/>
          <w:sz w:val="20"/>
          <w:szCs w:val="20"/>
        </w:rPr>
        <w:t xml:space="preserve">’s governance framework </w:t>
      </w:r>
      <w:r w:rsidR="00BA4F88" w:rsidRPr="002B54AD">
        <w:rPr>
          <w:rFonts w:ascii="Arial" w:hAnsi="Arial" w:cs="Arial"/>
          <w:sz w:val="20"/>
          <w:szCs w:val="20"/>
        </w:rPr>
        <w:t>include:</w:t>
      </w:r>
    </w:p>
    <w:p w14:paraId="52F25C68" w14:textId="77777777" w:rsidR="00826D8A" w:rsidRPr="002B54AD" w:rsidRDefault="00826D8A" w:rsidP="0050780A">
      <w:pPr>
        <w:pStyle w:val="ListParagraph"/>
        <w:numPr>
          <w:ilvl w:val="0"/>
          <w:numId w:val="2"/>
        </w:numPr>
        <w:spacing w:before="120" w:after="120"/>
        <w:ind w:left="-86" w:right="-547"/>
        <w:contextualSpacing w:val="0"/>
        <w:rPr>
          <w:rFonts w:cs="Arial"/>
        </w:rPr>
      </w:pPr>
      <w:r w:rsidRPr="002B54AD">
        <w:rPr>
          <w:rFonts w:cs="Arial"/>
        </w:rPr>
        <w:t>Preparation of the Asset Management Team Terms of Reference</w:t>
      </w:r>
    </w:p>
    <w:p w14:paraId="7C6BC2C5" w14:textId="5F9F4E67" w:rsidR="00C72185" w:rsidRPr="002B54AD" w:rsidRDefault="00217A75" w:rsidP="0050780A">
      <w:pPr>
        <w:pStyle w:val="ListParagraph"/>
        <w:numPr>
          <w:ilvl w:val="0"/>
          <w:numId w:val="2"/>
        </w:numPr>
        <w:spacing w:before="120" w:after="120"/>
        <w:ind w:left="-86" w:right="-547"/>
        <w:contextualSpacing w:val="0"/>
        <w:rPr>
          <w:rFonts w:cs="Arial"/>
          <w:lang w:val="en-CA"/>
        </w:rPr>
      </w:pPr>
      <w:r w:rsidRPr="002B54AD">
        <w:rPr>
          <w:rFonts w:cs="Arial"/>
          <w:lang w:val="en-CA"/>
        </w:rPr>
        <w:t>Forming w</w:t>
      </w:r>
      <w:r w:rsidR="00C72185" w:rsidRPr="002B54AD">
        <w:rPr>
          <w:rFonts w:cs="Arial"/>
          <w:lang w:val="en-CA"/>
        </w:rPr>
        <w:t>orking groups (cross-department)</w:t>
      </w:r>
      <w:r w:rsidR="00826D8A" w:rsidRPr="002B54AD">
        <w:rPr>
          <w:rFonts w:cs="Arial"/>
          <w:lang w:val="en-CA"/>
        </w:rPr>
        <w:t xml:space="preserve"> around each decision stream, as a subset of the Asset Management Team </w:t>
      </w:r>
      <w:r w:rsidR="00826D8A" w:rsidRPr="002B54AD">
        <w:rPr>
          <w:rFonts w:cs="Arial"/>
          <w:highlight w:val="yellow"/>
          <w:lang w:val="en-CA"/>
        </w:rPr>
        <w:t>(remove for smaller communities)</w:t>
      </w:r>
    </w:p>
    <w:p w14:paraId="10E39334" w14:textId="2F84FBB0" w:rsidR="00C72185" w:rsidRPr="002B54AD" w:rsidRDefault="00C72185" w:rsidP="0050780A">
      <w:pPr>
        <w:pStyle w:val="ListParagraph"/>
        <w:numPr>
          <w:ilvl w:val="0"/>
          <w:numId w:val="2"/>
        </w:numPr>
        <w:spacing w:before="120" w:after="120"/>
        <w:ind w:left="-86" w:right="-547"/>
        <w:contextualSpacing w:val="0"/>
        <w:rPr>
          <w:rFonts w:cs="Arial"/>
        </w:rPr>
      </w:pPr>
      <w:r w:rsidRPr="002B54AD">
        <w:rPr>
          <w:rFonts w:cs="Arial"/>
        </w:rPr>
        <w:t xml:space="preserve">Coordination </w:t>
      </w:r>
      <w:r w:rsidR="00B70AB4" w:rsidRPr="002B54AD">
        <w:rPr>
          <w:rFonts w:cs="Arial"/>
        </w:rPr>
        <w:t xml:space="preserve">and documentation of </w:t>
      </w:r>
      <w:r w:rsidRPr="002B54AD">
        <w:rPr>
          <w:rFonts w:cs="Arial"/>
        </w:rPr>
        <w:t xml:space="preserve">departmental roles </w:t>
      </w:r>
      <w:r w:rsidR="00B70AB4" w:rsidRPr="002B54AD">
        <w:rPr>
          <w:rFonts w:cs="Arial"/>
        </w:rPr>
        <w:t>and</w:t>
      </w:r>
      <w:r w:rsidR="007866AB" w:rsidRPr="002B54AD">
        <w:rPr>
          <w:rFonts w:cs="Arial"/>
          <w:lang w:val="en-CA"/>
        </w:rPr>
        <w:t xml:space="preserve"> a</w:t>
      </w:r>
      <w:r w:rsidR="00FA614D" w:rsidRPr="002B54AD">
        <w:rPr>
          <w:rFonts w:cs="Arial"/>
        </w:rPr>
        <w:t>accountability</w:t>
      </w:r>
      <w:r w:rsidRPr="002B54AD">
        <w:rPr>
          <w:rFonts w:cs="Arial"/>
        </w:rPr>
        <w:t xml:space="preserve"> relationships </w:t>
      </w:r>
      <w:r w:rsidR="007866AB" w:rsidRPr="002B54AD">
        <w:rPr>
          <w:rFonts w:cs="Arial"/>
        </w:rPr>
        <w:t xml:space="preserve">for key players, including </w:t>
      </w:r>
      <w:r w:rsidRPr="002B54AD">
        <w:rPr>
          <w:rFonts w:cs="Arial"/>
        </w:rPr>
        <w:t>responsibilities</w:t>
      </w:r>
      <w:r w:rsidR="007866AB" w:rsidRPr="002B54AD">
        <w:rPr>
          <w:rFonts w:cs="Arial"/>
        </w:rPr>
        <w:t xml:space="preserve"> that are aligned with the </w:t>
      </w:r>
      <w:r w:rsidR="007866AB" w:rsidRPr="002B54AD">
        <w:rPr>
          <w:rFonts w:cs="Arial"/>
          <w:highlight w:val="yellow"/>
        </w:rPr>
        <w:t>(Community)</w:t>
      </w:r>
      <w:r w:rsidR="007866AB" w:rsidRPr="002B54AD">
        <w:rPr>
          <w:rFonts w:cs="Arial"/>
        </w:rPr>
        <w:t>’s Asset Management Policy</w:t>
      </w:r>
    </w:p>
    <w:p w14:paraId="09CE8485" w14:textId="7D8FBB20" w:rsidR="00C72185" w:rsidRPr="002B54AD" w:rsidRDefault="00826D8A" w:rsidP="0050780A">
      <w:pPr>
        <w:pStyle w:val="ListParagraph"/>
        <w:numPr>
          <w:ilvl w:val="0"/>
          <w:numId w:val="2"/>
        </w:numPr>
        <w:spacing w:before="120" w:after="120"/>
        <w:ind w:left="-86" w:right="-547"/>
        <w:contextualSpacing w:val="0"/>
        <w:rPr>
          <w:rFonts w:cs="Arial"/>
        </w:rPr>
      </w:pPr>
      <w:r w:rsidRPr="002B54AD">
        <w:rPr>
          <w:rFonts w:cs="Arial"/>
        </w:rPr>
        <w:t>Scheduling key annual meetings, milestones and deliverables</w:t>
      </w:r>
    </w:p>
    <w:p w14:paraId="0E0AC88B" w14:textId="12A733E0" w:rsidR="00217A75" w:rsidRPr="002B54AD" w:rsidRDefault="00217A75" w:rsidP="0050780A">
      <w:pPr>
        <w:pStyle w:val="ListParagraph"/>
        <w:numPr>
          <w:ilvl w:val="0"/>
          <w:numId w:val="2"/>
        </w:numPr>
        <w:spacing w:before="120" w:after="120"/>
        <w:ind w:left="-86" w:right="-547"/>
        <w:contextualSpacing w:val="0"/>
        <w:rPr>
          <w:rFonts w:cs="Arial"/>
        </w:rPr>
      </w:pPr>
      <w:r w:rsidRPr="002B54AD">
        <w:rPr>
          <w:rFonts w:cs="Arial"/>
        </w:rPr>
        <w:t>Documenting the scope of each annual meeting, milestone and deliverable, and identifying who is responsible</w:t>
      </w:r>
    </w:p>
    <w:p w14:paraId="76E2D3D3" w14:textId="10F5D093" w:rsidR="00826D8A" w:rsidRPr="002B54AD" w:rsidRDefault="00826D8A" w:rsidP="0050780A">
      <w:pPr>
        <w:pStyle w:val="ListParagraph"/>
        <w:numPr>
          <w:ilvl w:val="0"/>
          <w:numId w:val="2"/>
        </w:numPr>
        <w:spacing w:before="120" w:after="120"/>
        <w:ind w:left="-86" w:right="-547"/>
        <w:contextualSpacing w:val="0"/>
        <w:rPr>
          <w:rFonts w:cs="Arial"/>
        </w:rPr>
      </w:pPr>
      <w:r w:rsidRPr="002B54AD">
        <w:rPr>
          <w:rFonts w:cs="Arial"/>
        </w:rPr>
        <w:t>Scheduling 5 year recurring processes</w:t>
      </w:r>
    </w:p>
    <w:p w14:paraId="047AA877" w14:textId="13F7A343" w:rsidR="00C72185" w:rsidRPr="002B54AD" w:rsidRDefault="00826D8A" w:rsidP="0050780A">
      <w:pPr>
        <w:pStyle w:val="ListParagraph"/>
        <w:numPr>
          <w:ilvl w:val="0"/>
          <w:numId w:val="2"/>
        </w:numPr>
        <w:spacing w:before="120" w:after="120"/>
        <w:ind w:left="-86" w:right="-547" w:hanging="357"/>
        <w:contextualSpacing w:val="0"/>
        <w:rPr>
          <w:rFonts w:cs="Arial"/>
          <w:lang w:val="en-CA"/>
        </w:rPr>
      </w:pPr>
      <w:r w:rsidRPr="002B54AD">
        <w:rPr>
          <w:rFonts w:cs="Arial"/>
          <w:lang w:val="en-CA"/>
        </w:rPr>
        <w:t>Identifying d</w:t>
      </w:r>
      <w:r w:rsidR="00C72185" w:rsidRPr="002B54AD">
        <w:rPr>
          <w:rFonts w:cs="Arial"/>
          <w:lang w:val="en-CA"/>
        </w:rPr>
        <w:t>ependencies</w:t>
      </w:r>
      <w:r w:rsidRPr="002B54AD">
        <w:rPr>
          <w:rFonts w:cs="Arial"/>
          <w:lang w:val="en-CA"/>
        </w:rPr>
        <w:t xml:space="preserve"> between implementation tasks</w:t>
      </w:r>
      <w:r w:rsidR="00C72185" w:rsidRPr="002B54AD">
        <w:rPr>
          <w:rFonts w:cs="Arial"/>
          <w:lang w:val="en-CA"/>
        </w:rPr>
        <w:t xml:space="preserve"> (relationships </w:t>
      </w:r>
      <w:r w:rsidRPr="002B54AD">
        <w:rPr>
          <w:rFonts w:cs="Arial"/>
          <w:lang w:val="en-CA"/>
        </w:rPr>
        <w:t>illustrating how information flows in and out of each stream</w:t>
      </w:r>
      <w:r w:rsidR="00C72185" w:rsidRPr="002B54AD">
        <w:rPr>
          <w:rFonts w:cs="Arial"/>
          <w:lang w:val="en-CA"/>
        </w:rPr>
        <w:t>)</w:t>
      </w:r>
    </w:p>
    <w:p w14:paraId="6E0FBF04" w14:textId="79DE8E5E" w:rsidR="00C901A5" w:rsidRPr="002B54AD" w:rsidRDefault="00C901A5" w:rsidP="0050780A">
      <w:pPr>
        <w:spacing w:after="120" w:line="240" w:lineRule="auto"/>
        <w:ind w:left="-450" w:right="-540"/>
        <w:rPr>
          <w:rFonts w:ascii="Arial" w:hAnsi="Arial" w:cs="Arial"/>
          <w:sz w:val="20"/>
          <w:szCs w:val="20"/>
        </w:rPr>
      </w:pPr>
      <w:r w:rsidRPr="002B54AD">
        <w:rPr>
          <w:rFonts w:ascii="Arial" w:hAnsi="Arial" w:cs="Arial"/>
          <w:sz w:val="20"/>
          <w:szCs w:val="20"/>
        </w:rPr>
        <w:t>Initiatives related to the ongoing governance of the program are described in the section below.</w:t>
      </w:r>
    </w:p>
    <w:p w14:paraId="6CD9DE7A" w14:textId="751DC837" w:rsidR="00760718" w:rsidRPr="00CF5255" w:rsidRDefault="004B4E5B" w:rsidP="0050780A">
      <w:pPr>
        <w:spacing w:before="120" w:after="120" w:line="360" w:lineRule="auto"/>
        <w:ind w:left="-450" w:right="-630"/>
        <w:rPr>
          <w:rFonts w:ascii="Arial" w:hAnsi="Arial" w:cs="Arial"/>
          <w:b/>
          <w:sz w:val="32"/>
          <w:szCs w:val="32"/>
        </w:rPr>
      </w:pPr>
      <w:r w:rsidRPr="002B54AD">
        <w:rPr>
          <w:rFonts w:ascii="Arial" w:hAnsi="Arial" w:cs="Arial"/>
          <w:b/>
          <w:sz w:val="28"/>
          <w:szCs w:val="32"/>
        </w:rPr>
        <w:t xml:space="preserve">Recurring </w:t>
      </w:r>
      <w:r w:rsidR="00760718" w:rsidRPr="002B54AD">
        <w:rPr>
          <w:rFonts w:ascii="Arial" w:hAnsi="Arial" w:cs="Arial"/>
          <w:b/>
          <w:sz w:val="28"/>
          <w:szCs w:val="32"/>
        </w:rPr>
        <w:t>Annual Meetings and Deliverables</w:t>
      </w:r>
    </w:p>
    <w:p w14:paraId="485C2825" w14:textId="778F062D" w:rsidR="00BA4F88" w:rsidRPr="002B54AD" w:rsidRDefault="00704AC9" w:rsidP="0050780A">
      <w:pPr>
        <w:spacing w:after="120" w:line="240" w:lineRule="auto"/>
        <w:ind w:left="-450" w:right="-630"/>
        <w:rPr>
          <w:rFonts w:ascii="Arial" w:hAnsi="Arial" w:cs="Arial"/>
          <w:sz w:val="20"/>
          <w:szCs w:val="20"/>
        </w:rPr>
      </w:pPr>
      <w:r w:rsidRPr="002B54AD">
        <w:rPr>
          <w:rFonts w:ascii="Arial" w:hAnsi="Arial" w:cs="Arial"/>
          <w:sz w:val="20"/>
          <w:szCs w:val="20"/>
        </w:rPr>
        <w:t xml:space="preserve">The </w:t>
      </w:r>
      <w:r w:rsidR="00BA4F88" w:rsidRPr="002B54AD">
        <w:rPr>
          <w:rFonts w:ascii="Arial" w:hAnsi="Arial" w:cs="Arial"/>
          <w:sz w:val="20"/>
          <w:szCs w:val="20"/>
        </w:rPr>
        <w:t>GANTT chart</w:t>
      </w:r>
      <w:r w:rsidRPr="002B54AD">
        <w:rPr>
          <w:rFonts w:ascii="Arial" w:hAnsi="Arial" w:cs="Arial"/>
          <w:sz w:val="20"/>
          <w:szCs w:val="20"/>
        </w:rPr>
        <w:t xml:space="preserve"> on the next page illustrates</w:t>
      </w:r>
      <w:r w:rsidR="00826D8A" w:rsidRPr="002B54AD">
        <w:rPr>
          <w:rFonts w:ascii="Arial" w:hAnsi="Arial" w:cs="Arial"/>
          <w:sz w:val="20"/>
          <w:szCs w:val="20"/>
        </w:rPr>
        <w:t xml:space="preserve"> the</w:t>
      </w:r>
      <w:r w:rsidRPr="002B54AD">
        <w:rPr>
          <w:rFonts w:ascii="Arial" w:hAnsi="Arial" w:cs="Arial"/>
          <w:sz w:val="20"/>
          <w:szCs w:val="20"/>
        </w:rPr>
        <w:t xml:space="preserve"> </w:t>
      </w:r>
      <w:r w:rsidRPr="002B54AD">
        <w:rPr>
          <w:rFonts w:ascii="Arial" w:hAnsi="Arial" w:cs="Arial"/>
          <w:sz w:val="20"/>
          <w:szCs w:val="20"/>
          <w:highlight w:val="yellow"/>
        </w:rPr>
        <w:t>(Community)</w:t>
      </w:r>
      <w:r w:rsidRPr="002B54AD">
        <w:rPr>
          <w:rFonts w:ascii="Arial" w:hAnsi="Arial" w:cs="Arial"/>
          <w:sz w:val="20"/>
          <w:szCs w:val="20"/>
        </w:rPr>
        <w:t>’s</w:t>
      </w:r>
      <w:r w:rsidR="00BA4F88" w:rsidRPr="002B54AD">
        <w:rPr>
          <w:rFonts w:ascii="Arial" w:hAnsi="Arial" w:cs="Arial"/>
          <w:sz w:val="20"/>
          <w:szCs w:val="20"/>
        </w:rPr>
        <w:t xml:space="preserve"> the annual (and 5 year) cycle of ongoing asset management</w:t>
      </w:r>
      <w:r w:rsidRPr="002B54AD">
        <w:rPr>
          <w:rFonts w:ascii="Arial" w:hAnsi="Arial" w:cs="Arial"/>
          <w:sz w:val="20"/>
          <w:szCs w:val="20"/>
        </w:rPr>
        <w:t>.</w:t>
      </w:r>
    </w:p>
    <w:p w14:paraId="53425C43" w14:textId="77777777" w:rsidR="00704AC9" w:rsidRPr="00CF5255" w:rsidRDefault="00704AC9">
      <w:pPr>
        <w:rPr>
          <w:rFonts w:ascii="Arial" w:hAnsi="Arial" w:cs="Arial"/>
          <w:sz w:val="32"/>
          <w:szCs w:val="32"/>
        </w:rPr>
      </w:pPr>
      <w:r w:rsidRPr="00CF5255">
        <w:rPr>
          <w:rFonts w:ascii="Arial" w:hAnsi="Arial" w:cs="Arial"/>
          <w:sz w:val="32"/>
          <w:szCs w:val="32"/>
        </w:rPr>
        <w:br w:type="page"/>
      </w:r>
    </w:p>
    <w:p w14:paraId="75A527FE" w14:textId="75E0FC77" w:rsidR="00F16985" w:rsidRPr="00CF5255" w:rsidRDefault="00F16985" w:rsidP="00F16985">
      <w:pPr>
        <w:spacing w:before="480" w:after="120" w:line="360" w:lineRule="auto"/>
        <w:rPr>
          <w:rFonts w:ascii="Arial" w:hAnsi="Arial" w:cs="Arial"/>
          <w:sz w:val="32"/>
          <w:szCs w:val="32"/>
        </w:rPr>
      </w:pPr>
      <w:r w:rsidRPr="00CF5255">
        <w:rPr>
          <w:rFonts w:ascii="Arial" w:hAnsi="Arial" w:cs="Arial"/>
          <w:sz w:val="32"/>
          <w:szCs w:val="32"/>
          <w:highlight w:val="yellow"/>
        </w:rPr>
        <w:lastRenderedPageBreak/>
        <w:t>INSERT ANNUAL SCHEDULE</w:t>
      </w:r>
    </w:p>
    <w:p w14:paraId="640B67FF" w14:textId="2E07EDEF" w:rsidR="00F16985" w:rsidRPr="00CF5255" w:rsidRDefault="00F16985" w:rsidP="00F16985">
      <w:pPr>
        <w:spacing w:before="240" w:after="120" w:line="360" w:lineRule="auto"/>
        <w:rPr>
          <w:rFonts w:ascii="Arial" w:hAnsi="Arial" w:cs="Arial"/>
        </w:rPr>
      </w:pPr>
    </w:p>
    <w:sectPr w:rsidR="00F16985" w:rsidRPr="00CF5255" w:rsidSect="0050780A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E53D" w14:textId="77777777" w:rsidR="00540873" w:rsidRDefault="00540873" w:rsidP="00BA17E2">
      <w:pPr>
        <w:spacing w:after="0" w:line="240" w:lineRule="auto"/>
      </w:pPr>
      <w:r>
        <w:separator/>
      </w:r>
    </w:p>
  </w:endnote>
  <w:endnote w:type="continuationSeparator" w:id="0">
    <w:p w14:paraId="2F4FD030" w14:textId="77777777" w:rsidR="00540873" w:rsidRDefault="00540873" w:rsidP="00BA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W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DC21" w14:textId="7D395C3A" w:rsidR="00BA17E2" w:rsidRDefault="00C44F8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897ED7B" wp14:editId="6324FBDC">
          <wp:simplePos x="0" y="0"/>
          <wp:positionH relativeFrom="column">
            <wp:posOffset>4362450</wp:posOffset>
          </wp:positionH>
          <wp:positionV relativeFrom="paragraph">
            <wp:posOffset>-667322</wp:posOffset>
          </wp:positionV>
          <wp:extent cx="1902581" cy="990600"/>
          <wp:effectExtent l="0" t="0" r="2540" b="0"/>
          <wp:wrapNone/>
          <wp:docPr id="12" name="Picture 12" descr="\\bbyfs1.kwl.ca\3000-3999\3800-3899\3873-001\800-Photos\NWTAC_CMYK_tagline high 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byfs1.kwl.ca\3000-3999\3800-3899\3873-001\800-Photos\NWTAC_CMYK_tagline high 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581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9F6" w:rsidRPr="00BA17E2">
      <w:rPr>
        <w:rFonts w:ascii="CHAWP" w:hAnsi="CHAWP"/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0" locked="0" layoutInCell="1" allowOverlap="1" wp14:anchorId="72FC3605" wp14:editId="7DBC3526">
          <wp:simplePos x="0" y="0"/>
          <wp:positionH relativeFrom="margin">
            <wp:posOffset>-342900</wp:posOffset>
          </wp:positionH>
          <wp:positionV relativeFrom="margin">
            <wp:posOffset>8067675</wp:posOffset>
          </wp:positionV>
          <wp:extent cx="2155190" cy="704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lk_Arr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504A" w14:textId="77777777" w:rsidR="00540873" w:rsidRDefault="00540873" w:rsidP="00BA17E2">
      <w:pPr>
        <w:spacing w:after="0" w:line="240" w:lineRule="auto"/>
      </w:pPr>
      <w:r>
        <w:separator/>
      </w:r>
    </w:p>
  </w:footnote>
  <w:footnote w:type="continuationSeparator" w:id="0">
    <w:p w14:paraId="45B50D86" w14:textId="77777777" w:rsidR="00540873" w:rsidRDefault="00540873" w:rsidP="00BA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61E7" w14:textId="25DFE183" w:rsidR="00BA17E2" w:rsidRDefault="004B7089" w:rsidP="00D151BC">
    <w:pPr>
      <w:pStyle w:val="Header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B3762" wp14:editId="4B12EBE9">
              <wp:simplePos x="0" y="0"/>
              <wp:positionH relativeFrom="column">
                <wp:posOffset>-797169</wp:posOffset>
              </wp:positionH>
              <wp:positionV relativeFrom="paragraph">
                <wp:posOffset>-339969</wp:posOffset>
              </wp:positionV>
              <wp:extent cx="7502769" cy="433754"/>
              <wp:effectExtent l="0" t="0" r="317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769" cy="433754"/>
                      </a:xfrm>
                      <a:prstGeom prst="rect">
                        <a:avLst/>
                      </a:prstGeom>
                      <a:solidFill>
                        <a:srgbClr val="0098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B426E" id="Rectangle 5" o:spid="_x0000_s1026" style="position:absolute;margin-left:-62.75pt;margin-top:-26.75pt;width:590.75pt;height:3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" fillcolor="#009896" stroked="f" strokeweight="1pt"/>
          </w:pict>
        </mc:Fallback>
      </mc:AlternateContent>
    </w:r>
    <w:r w:rsidR="00867151">
      <w:tab/>
    </w:r>
    <w:r w:rsidR="00867151">
      <w:tab/>
    </w:r>
    <w:r w:rsidR="00867151" w:rsidRPr="00867151">
      <w:rPr>
        <w:color w:val="FFFFFF" w:themeColor="background1"/>
      </w:rPr>
      <w:fldChar w:fldCharType="begin"/>
    </w:r>
    <w:r w:rsidR="00867151" w:rsidRPr="00867151">
      <w:rPr>
        <w:color w:val="FFFFFF" w:themeColor="background1"/>
      </w:rPr>
      <w:instrText xml:space="preserve"> PAGE   \* MERGEFORMAT </w:instrText>
    </w:r>
    <w:r w:rsidR="00867151" w:rsidRPr="00867151">
      <w:rPr>
        <w:color w:val="FFFFFF" w:themeColor="background1"/>
      </w:rPr>
      <w:fldChar w:fldCharType="separate"/>
    </w:r>
    <w:r w:rsidR="00867151" w:rsidRPr="00867151">
      <w:rPr>
        <w:noProof/>
        <w:color w:val="FFFFFF" w:themeColor="background1"/>
      </w:rPr>
      <w:t>1</w:t>
    </w:r>
    <w:r w:rsidR="00867151" w:rsidRPr="00867151">
      <w:rPr>
        <w:noProof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B23"/>
    <w:multiLevelType w:val="hybridMultilevel"/>
    <w:tmpl w:val="1534CDC4"/>
    <w:lvl w:ilvl="0" w:tplc="71B002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A8D"/>
    <w:multiLevelType w:val="hybridMultilevel"/>
    <w:tmpl w:val="CBB6BC68"/>
    <w:lvl w:ilvl="0" w:tplc="402C3662">
      <w:numFmt w:val="bullet"/>
      <w:lvlText w:val="-"/>
      <w:lvlJc w:val="left"/>
      <w:pPr>
        <w:ind w:left="720" w:hanging="360"/>
      </w:pPr>
      <w:rPr>
        <w:rFonts w:ascii="CHAWP" w:eastAsiaTheme="minorHAnsi" w:hAnsi="CHAWP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AB1"/>
    <w:multiLevelType w:val="hybridMultilevel"/>
    <w:tmpl w:val="B1AEE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7A6"/>
    <w:multiLevelType w:val="hybridMultilevel"/>
    <w:tmpl w:val="4A2CE620"/>
    <w:lvl w:ilvl="0" w:tplc="DD76ACE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66D02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0D77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4B3C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A7E5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6CDF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6A5F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3206F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AADDB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D20150"/>
    <w:multiLevelType w:val="hybridMultilevel"/>
    <w:tmpl w:val="FB26A63A"/>
    <w:lvl w:ilvl="0" w:tplc="78E6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4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0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6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1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0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148A1"/>
    <w:multiLevelType w:val="hybridMultilevel"/>
    <w:tmpl w:val="F6FEEF44"/>
    <w:lvl w:ilvl="0" w:tplc="9132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2718"/>
    <w:multiLevelType w:val="hybridMultilevel"/>
    <w:tmpl w:val="02749B4E"/>
    <w:lvl w:ilvl="0" w:tplc="AF60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9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8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2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9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A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C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6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49"/>
    <w:rsid w:val="00000537"/>
    <w:rsid w:val="00016A15"/>
    <w:rsid w:val="000433BB"/>
    <w:rsid w:val="0012634A"/>
    <w:rsid w:val="0018324F"/>
    <w:rsid w:val="001A6D58"/>
    <w:rsid w:val="001E52C9"/>
    <w:rsid w:val="00205885"/>
    <w:rsid w:val="00217A75"/>
    <w:rsid w:val="002255C3"/>
    <w:rsid w:val="00241016"/>
    <w:rsid w:val="00272711"/>
    <w:rsid w:val="00293DC0"/>
    <w:rsid w:val="002B54AD"/>
    <w:rsid w:val="002C2599"/>
    <w:rsid w:val="002D5372"/>
    <w:rsid w:val="00307AED"/>
    <w:rsid w:val="00326ED1"/>
    <w:rsid w:val="00382998"/>
    <w:rsid w:val="00394D1B"/>
    <w:rsid w:val="003E17A3"/>
    <w:rsid w:val="004002A4"/>
    <w:rsid w:val="004070F4"/>
    <w:rsid w:val="00421B49"/>
    <w:rsid w:val="00494717"/>
    <w:rsid w:val="004B017B"/>
    <w:rsid w:val="004B4E5B"/>
    <w:rsid w:val="004B7089"/>
    <w:rsid w:val="004D31BA"/>
    <w:rsid w:val="004E5529"/>
    <w:rsid w:val="0050780A"/>
    <w:rsid w:val="00515209"/>
    <w:rsid w:val="005216EA"/>
    <w:rsid w:val="00540873"/>
    <w:rsid w:val="00561616"/>
    <w:rsid w:val="00571BD3"/>
    <w:rsid w:val="005D4849"/>
    <w:rsid w:val="006072BB"/>
    <w:rsid w:val="00643930"/>
    <w:rsid w:val="00656237"/>
    <w:rsid w:val="00682370"/>
    <w:rsid w:val="006A785A"/>
    <w:rsid w:val="006E2516"/>
    <w:rsid w:val="00704AC9"/>
    <w:rsid w:val="007531EC"/>
    <w:rsid w:val="00760718"/>
    <w:rsid w:val="007675E9"/>
    <w:rsid w:val="00776B0A"/>
    <w:rsid w:val="00784322"/>
    <w:rsid w:val="007866AB"/>
    <w:rsid w:val="007A2100"/>
    <w:rsid w:val="007F6EFB"/>
    <w:rsid w:val="00826D8A"/>
    <w:rsid w:val="008442DE"/>
    <w:rsid w:val="00845F69"/>
    <w:rsid w:val="0085466F"/>
    <w:rsid w:val="00867151"/>
    <w:rsid w:val="0089399A"/>
    <w:rsid w:val="008C3C2E"/>
    <w:rsid w:val="008E6FAF"/>
    <w:rsid w:val="009106A5"/>
    <w:rsid w:val="009302FA"/>
    <w:rsid w:val="00934502"/>
    <w:rsid w:val="009528ED"/>
    <w:rsid w:val="00991F20"/>
    <w:rsid w:val="009D2896"/>
    <w:rsid w:val="00A17EB8"/>
    <w:rsid w:val="00A3325A"/>
    <w:rsid w:val="00A33A24"/>
    <w:rsid w:val="00A729F6"/>
    <w:rsid w:val="00A92F28"/>
    <w:rsid w:val="00AA1035"/>
    <w:rsid w:val="00AE5B10"/>
    <w:rsid w:val="00B57137"/>
    <w:rsid w:val="00B70AB4"/>
    <w:rsid w:val="00B85477"/>
    <w:rsid w:val="00B87B74"/>
    <w:rsid w:val="00BA17E2"/>
    <w:rsid w:val="00BA4F88"/>
    <w:rsid w:val="00BB39CF"/>
    <w:rsid w:val="00BF7B51"/>
    <w:rsid w:val="00C1330B"/>
    <w:rsid w:val="00C44F80"/>
    <w:rsid w:val="00C5550B"/>
    <w:rsid w:val="00C72185"/>
    <w:rsid w:val="00C8423A"/>
    <w:rsid w:val="00C901A5"/>
    <w:rsid w:val="00C9224D"/>
    <w:rsid w:val="00CC6DE7"/>
    <w:rsid w:val="00CF0AC3"/>
    <w:rsid w:val="00CF5255"/>
    <w:rsid w:val="00D151BC"/>
    <w:rsid w:val="00D97C2F"/>
    <w:rsid w:val="00DB5F63"/>
    <w:rsid w:val="00DF0B06"/>
    <w:rsid w:val="00E02A45"/>
    <w:rsid w:val="00E246EA"/>
    <w:rsid w:val="00E3588E"/>
    <w:rsid w:val="00E502DF"/>
    <w:rsid w:val="00E64091"/>
    <w:rsid w:val="00E96D4A"/>
    <w:rsid w:val="00EF4E3B"/>
    <w:rsid w:val="00EF7163"/>
    <w:rsid w:val="00EF7885"/>
    <w:rsid w:val="00F16985"/>
    <w:rsid w:val="00F230E0"/>
    <w:rsid w:val="00F51239"/>
    <w:rsid w:val="00F54EB1"/>
    <w:rsid w:val="00F86AAB"/>
    <w:rsid w:val="00FA0938"/>
    <w:rsid w:val="00FA614D"/>
    <w:rsid w:val="00FB6CE4"/>
    <w:rsid w:val="00FB71E5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2B841"/>
  <w15:chartTrackingRefBased/>
  <w15:docId w15:val="{9FF52F19-657D-460C-8438-2FC8C3C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3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E2"/>
  </w:style>
  <w:style w:type="paragraph" w:styleId="Footer">
    <w:name w:val="footer"/>
    <w:basedOn w:val="Normal"/>
    <w:link w:val="FooterChar"/>
    <w:uiPriority w:val="99"/>
    <w:unhideWhenUsed/>
    <w:rsid w:val="00BA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E2"/>
  </w:style>
  <w:style w:type="table" w:styleId="TableGrid">
    <w:name w:val="Table Grid"/>
    <w:basedOn w:val="TableNormal"/>
    <w:uiPriority w:val="59"/>
    <w:rsid w:val="007F6EFB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515209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NormalIndentedChar">
    <w:name w:val="Normal Indented Char"/>
    <w:link w:val="NormalIndented"/>
    <w:locked/>
    <w:rsid w:val="00515209"/>
    <w:rPr>
      <w:rFonts w:ascii="Arial" w:eastAsia="Times New Roman" w:hAnsi="Arial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A729F6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704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24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53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905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220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92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66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5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6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98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70CC-7597-4FAE-B01D-3799B20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Cheah</dc:creator>
  <cp:keywords/>
  <dc:description/>
  <cp:lastModifiedBy>Nicole Spencer</cp:lastModifiedBy>
  <cp:revision>2</cp:revision>
  <cp:lastPrinted>2018-12-18T00:43:00Z</cp:lastPrinted>
  <dcterms:created xsi:type="dcterms:W3CDTF">2019-02-07T20:28:00Z</dcterms:created>
  <dcterms:modified xsi:type="dcterms:W3CDTF">2019-02-07T20:28:00Z</dcterms:modified>
</cp:coreProperties>
</file>